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8B9CA3" w14:textId="531A7759" w:rsidR="00386C3D" w:rsidRPr="00640C45" w:rsidRDefault="00386C3D" w:rsidP="0050758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</w:rPr>
      </w:pPr>
      <w:r w:rsidRPr="00640C45">
        <w:rPr>
          <w:rFonts w:cstheme="minorHAnsi"/>
          <w:b/>
          <w:bCs/>
          <w:kern w:val="0"/>
          <w:sz w:val="24"/>
          <w:szCs w:val="24"/>
        </w:rPr>
        <w:t>WÓJT GMINY BĘDZINO</w:t>
      </w:r>
      <w:bookmarkStart w:id="0" w:name="_GoBack"/>
      <w:bookmarkEnd w:id="0"/>
    </w:p>
    <w:p w14:paraId="727DC3C1" w14:textId="3CB2B244" w:rsidR="007F1664" w:rsidRPr="00640C45" w:rsidRDefault="00386C3D" w:rsidP="007F166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0"/>
          <w:sz w:val="24"/>
          <w:szCs w:val="24"/>
        </w:rPr>
      </w:pPr>
      <w:r w:rsidRPr="00640C45">
        <w:rPr>
          <w:rFonts w:cstheme="minorHAnsi"/>
          <w:kern w:val="0"/>
          <w:sz w:val="24"/>
          <w:szCs w:val="24"/>
        </w:rPr>
        <w:t xml:space="preserve">ogłasza </w:t>
      </w:r>
      <w:r w:rsidR="00A4734D" w:rsidRPr="00640C45">
        <w:rPr>
          <w:rFonts w:cstheme="minorHAnsi"/>
          <w:kern w:val="0"/>
          <w:sz w:val="24"/>
          <w:szCs w:val="24"/>
        </w:rPr>
        <w:t>I</w:t>
      </w:r>
      <w:r w:rsidR="00BE6ED1" w:rsidRPr="00640C45">
        <w:rPr>
          <w:rFonts w:cstheme="minorHAnsi"/>
          <w:kern w:val="0"/>
          <w:sz w:val="24"/>
          <w:szCs w:val="24"/>
        </w:rPr>
        <w:t>V</w:t>
      </w:r>
      <w:r w:rsidR="00A4734D" w:rsidRPr="00640C45">
        <w:rPr>
          <w:rFonts w:cstheme="minorHAnsi"/>
          <w:kern w:val="0"/>
          <w:sz w:val="24"/>
          <w:szCs w:val="24"/>
        </w:rPr>
        <w:t xml:space="preserve"> </w:t>
      </w:r>
      <w:r w:rsidRPr="00640C45">
        <w:rPr>
          <w:rFonts w:cstheme="minorHAnsi"/>
          <w:kern w:val="0"/>
          <w:sz w:val="24"/>
          <w:szCs w:val="24"/>
        </w:rPr>
        <w:t>przetarg ustny nieograniczony na sprzedaż prawa własności</w:t>
      </w:r>
      <w:r w:rsidR="007F1664" w:rsidRPr="00640C45">
        <w:rPr>
          <w:rFonts w:cstheme="minorHAnsi"/>
          <w:kern w:val="0"/>
          <w:sz w:val="24"/>
          <w:szCs w:val="24"/>
        </w:rPr>
        <w:t xml:space="preserve"> </w:t>
      </w:r>
      <w:r w:rsidRPr="00640C45">
        <w:rPr>
          <w:rFonts w:cstheme="minorHAnsi"/>
          <w:kern w:val="0"/>
          <w:sz w:val="24"/>
          <w:szCs w:val="24"/>
        </w:rPr>
        <w:t xml:space="preserve">nieruchomości </w:t>
      </w:r>
      <w:r w:rsidR="009335A7" w:rsidRPr="00640C45">
        <w:rPr>
          <w:rFonts w:cstheme="minorHAnsi"/>
          <w:kern w:val="0"/>
          <w:sz w:val="24"/>
          <w:szCs w:val="24"/>
        </w:rPr>
        <w:t>lokalowej</w:t>
      </w:r>
    </w:p>
    <w:p w14:paraId="36C64FA6" w14:textId="6F7DCFE1" w:rsidR="00386C3D" w:rsidRPr="00640C45" w:rsidRDefault="00386C3D" w:rsidP="007F166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0"/>
          <w:sz w:val="24"/>
          <w:szCs w:val="24"/>
        </w:rPr>
      </w:pPr>
      <w:r w:rsidRPr="00640C45">
        <w:rPr>
          <w:rFonts w:cstheme="minorHAnsi"/>
          <w:kern w:val="0"/>
          <w:sz w:val="24"/>
          <w:szCs w:val="24"/>
        </w:rPr>
        <w:t>stanowiącej własność Gminy Będzino</w:t>
      </w:r>
      <w:r w:rsidR="00640C45" w:rsidRPr="00640C45">
        <w:rPr>
          <w:rFonts w:cstheme="minorHAnsi"/>
          <w:kern w:val="0"/>
          <w:sz w:val="24"/>
          <w:szCs w:val="24"/>
        </w:rPr>
        <w:t>.</w:t>
      </w:r>
    </w:p>
    <w:p w14:paraId="1F3D7C8B" w14:textId="77777777" w:rsidR="0083573E" w:rsidRPr="00640C45" w:rsidRDefault="0083573E" w:rsidP="00386C3D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49"/>
        <w:gridCol w:w="2015"/>
        <w:gridCol w:w="1629"/>
        <w:gridCol w:w="1616"/>
        <w:gridCol w:w="1748"/>
        <w:gridCol w:w="1819"/>
        <w:gridCol w:w="1730"/>
        <w:gridCol w:w="1688"/>
      </w:tblGrid>
      <w:tr w:rsidR="0083573E" w:rsidRPr="00640C45" w14:paraId="24D4311C" w14:textId="77777777" w:rsidTr="0083573E">
        <w:tc>
          <w:tcPr>
            <w:tcW w:w="1765" w:type="dxa"/>
            <w:vMerge w:val="restart"/>
          </w:tcPr>
          <w:p w14:paraId="64B7023D" w14:textId="30B91E91" w:rsidR="0083573E" w:rsidRPr="00640C45" w:rsidRDefault="0083573E" w:rsidP="00386C3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640C45">
              <w:rPr>
                <w:rFonts w:cstheme="minorHAnsi"/>
                <w:kern w:val="0"/>
                <w:sz w:val="24"/>
                <w:szCs w:val="24"/>
              </w:rPr>
              <w:t>Położenie nieruchomości</w:t>
            </w:r>
          </w:p>
        </w:tc>
        <w:tc>
          <w:tcPr>
            <w:tcW w:w="5237" w:type="dxa"/>
            <w:gridSpan w:val="3"/>
          </w:tcPr>
          <w:p w14:paraId="41B45E60" w14:textId="1E20497B" w:rsidR="0083573E" w:rsidRPr="00640C45" w:rsidRDefault="0083573E" w:rsidP="00386C3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640C45">
              <w:rPr>
                <w:rFonts w:cstheme="minorHAnsi"/>
                <w:kern w:val="0"/>
                <w:sz w:val="24"/>
                <w:szCs w:val="24"/>
              </w:rPr>
              <w:t>Oznaczenie nieruchomości wg księgi wieczystej oraz katastru nieruchomości</w:t>
            </w:r>
          </w:p>
        </w:tc>
        <w:tc>
          <w:tcPr>
            <w:tcW w:w="1764" w:type="dxa"/>
            <w:vMerge w:val="restart"/>
          </w:tcPr>
          <w:p w14:paraId="3F955620" w14:textId="1EE4CD99" w:rsidR="0083573E" w:rsidRPr="00640C45" w:rsidRDefault="009335A7" w:rsidP="00386C3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640C45">
              <w:rPr>
                <w:rFonts w:cstheme="minorHAnsi"/>
                <w:kern w:val="0"/>
                <w:sz w:val="24"/>
                <w:szCs w:val="24"/>
              </w:rPr>
              <w:t>Powierzchnia nieruchomości (m2</w:t>
            </w:r>
            <w:r w:rsidR="0083573E" w:rsidRPr="00640C45">
              <w:rPr>
                <w:rFonts w:cstheme="minorHAnsi"/>
                <w:kern w:val="0"/>
                <w:sz w:val="24"/>
                <w:szCs w:val="24"/>
              </w:rPr>
              <w:t>)</w:t>
            </w:r>
          </w:p>
        </w:tc>
        <w:tc>
          <w:tcPr>
            <w:tcW w:w="1742" w:type="dxa"/>
            <w:vMerge w:val="restart"/>
          </w:tcPr>
          <w:p w14:paraId="5F15EDE1" w14:textId="744F91E5" w:rsidR="0083573E" w:rsidRPr="00640C45" w:rsidRDefault="009335A7" w:rsidP="00386C3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640C45">
              <w:rPr>
                <w:rFonts w:cstheme="minorHAnsi"/>
                <w:kern w:val="0"/>
                <w:sz w:val="24"/>
                <w:szCs w:val="24"/>
              </w:rPr>
              <w:t>Opis nieruchomości</w:t>
            </w:r>
          </w:p>
        </w:tc>
        <w:tc>
          <w:tcPr>
            <w:tcW w:w="1743" w:type="dxa"/>
            <w:vMerge w:val="restart"/>
          </w:tcPr>
          <w:p w14:paraId="6753ABED" w14:textId="66A89E4F" w:rsidR="0083573E" w:rsidRPr="00640C45" w:rsidRDefault="0083573E" w:rsidP="00386C3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640C45">
              <w:rPr>
                <w:rFonts w:cstheme="minorHAnsi"/>
                <w:kern w:val="0"/>
                <w:sz w:val="24"/>
                <w:szCs w:val="24"/>
              </w:rPr>
              <w:t>Cena wywoławcza nieruchomości netto* (zł)</w:t>
            </w:r>
          </w:p>
        </w:tc>
        <w:tc>
          <w:tcPr>
            <w:tcW w:w="1743" w:type="dxa"/>
          </w:tcPr>
          <w:p w14:paraId="0FF77F1D" w14:textId="02D5C56F" w:rsidR="0083573E" w:rsidRPr="00640C45" w:rsidRDefault="0083573E" w:rsidP="00386C3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640C45">
              <w:rPr>
                <w:rFonts w:cstheme="minorHAnsi"/>
                <w:kern w:val="0"/>
                <w:sz w:val="24"/>
                <w:szCs w:val="24"/>
              </w:rPr>
              <w:t>Wadium</w:t>
            </w:r>
          </w:p>
        </w:tc>
      </w:tr>
      <w:tr w:rsidR="0083573E" w:rsidRPr="00640C45" w14:paraId="02753E8E" w14:textId="77777777" w:rsidTr="0083573E">
        <w:tc>
          <w:tcPr>
            <w:tcW w:w="1765" w:type="dxa"/>
            <w:vMerge/>
          </w:tcPr>
          <w:p w14:paraId="7B6CD423" w14:textId="77777777" w:rsidR="0083573E" w:rsidRPr="00640C45" w:rsidRDefault="0083573E" w:rsidP="00386C3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</w:p>
        </w:tc>
        <w:tc>
          <w:tcPr>
            <w:tcW w:w="1747" w:type="dxa"/>
          </w:tcPr>
          <w:p w14:paraId="1913422C" w14:textId="2CC30B7D" w:rsidR="0083573E" w:rsidRPr="00640C45" w:rsidRDefault="0083573E" w:rsidP="00386C3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640C45">
              <w:rPr>
                <w:rFonts w:cstheme="minorHAnsi"/>
                <w:kern w:val="0"/>
                <w:sz w:val="24"/>
                <w:szCs w:val="24"/>
              </w:rPr>
              <w:t>Nr księgi wieczystej</w:t>
            </w:r>
          </w:p>
        </w:tc>
        <w:tc>
          <w:tcPr>
            <w:tcW w:w="1745" w:type="dxa"/>
          </w:tcPr>
          <w:p w14:paraId="12DE446A" w14:textId="7FF65D2F" w:rsidR="0083573E" w:rsidRPr="00640C45" w:rsidRDefault="0083573E" w:rsidP="00386C3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640C45">
              <w:rPr>
                <w:rFonts w:cstheme="minorHAnsi"/>
                <w:kern w:val="0"/>
                <w:sz w:val="24"/>
                <w:szCs w:val="24"/>
              </w:rPr>
              <w:t>Nr obrębu</w:t>
            </w:r>
          </w:p>
        </w:tc>
        <w:tc>
          <w:tcPr>
            <w:tcW w:w="1745" w:type="dxa"/>
          </w:tcPr>
          <w:p w14:paraId="73F35359" w14:textId="417A3FEE" w:rsidR="0083573E" w:rsidRPr="00640C45" w:rsidRDefault="0083573E" w:rsidP="00386C3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640C45">
              <w:rPr>
                <w:rFonts w:cstheme="minorHAnsi"/>
                <w:kern w:val="0"/>
                <w:sz w:val="24"/>
                <w:szCs w:val="24"/>
              </w:rPr>
              <w:t>Nr działki</w:t>
            </w:r>
          </w:p>
        </w:tc>
        <w:tc>
          <w:tcPr>
            <w:tcW w:w="1764" w:type="dxa"/>
            <w:vMerge/>
          </w:tcPr>
          <w:p w14:paraId="58D16A0D" w14:textId="77777777" w:rsidR="0083573E" w:rsidRPr="00640C45" w:rsidRDefault="0083573E" w:rsidP="00386C3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</w:p>
        </w:tc>
        <w:tc>
          <w:tcPr>
            <w:tcW w:w="1742" w:type="dxa"/>
            <w:vMerge/>
          </w:tcPr>
          <w:p w14:paraId="74DE6423" w14:textId="77777777" w:rsidR="0083573E" w:rsidRPr="00640C45" w:rsidRDefault="0083573E" w:rsidP="00386C3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</w:p>
        </w:tc>
        <w:tc>
          <w:tcPr>
            <w:tcW w:w="1743" w:type="dxa"/>
            <w:vMerge/>
          </w:tcPr>
          <w:p w14:paraId="12B496BE" w14:textId="77777777" w:rsidR="0083573E" w:rsidRPr="00640C45" w:rsidRDefault="0083573E" w:rsidP="00386C3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</w:p>
        </w:tc>
        <w:tc>
          <w:tcPr>
            <w:tcW w:w="1743" w:type="dxa"/>
          </w:tcPr>
          <w:p w14:paraId="3507AC99" w14:textId="7A132778" w:rsidR="0083573E" w:rsidRPr="00640C45" w:rsidRDefault="0083573E" w:rsidP="00386C3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640C45">
              <w:rPr>
                <w:rFonts w:cstheme="minorHAnsi"/>
                <w:kern w:val="0"/>
                <w:sz w:val="24"/>
                <w:szCs w:val="24"/>
              </w:rPr>
              <w:t>Postąpienie minimalne</w:t>
            </w:r>
          </w:p>
        </w:tc>
      </w:tr>
      <w:tr w:rsidR="0083573E" w:rsidRPr="00640C45" w14:paraId="0325A4AC" w14:textId="77777777" w:rsidTr="0083573E">
        <w:tc>
          <w:tcPr>
            <w:tcW w:w="1765" w:type="dxa"/>
          </w:tcPr>
          <w:p w14:paraId="66ED804F" w14:textId="0ED284DD" w:rsidR="0083573E" w:rsidRPr="00640C45" w:rsidRDefault="0083573E" w:rsidP="00FF6C37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sz w:val="24"/>
                <w:szCs w:val="24"/>
              </w:rPr>
            </w:pPr>
            <w:r w:rsidRPr="00640C45">
              <w:rPr>
                <w:rFonts w:cstheme="minorHAnsi"/>
                <w:kern w:val="0"/>
                <w:sz w:val="24"/>
                <w:szCs w:val="24"/>
              </w:rPr>
              <w:t>1.</w:t>
            </w:r>
          </w:p>
        </w:tc>
        <w:tc>
          <w:tcPr>
            <w:tcW w:w="1747" w:type="dxa"/>
          </w:tcPr>
          <w:p w14:paraId="406055C8" w14:textId="5115BCA6" w:rsidR="0083573E" w:rsidRPr="00640C45" w:rsidRDefault="0083573E" w:rsidP="00FF6C37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sz w:val="24"/>
                <w:szCs w:val="24"/>
              </w:rPr>
            </w:pPr>
            <w:r w:rsidRPr="00640C45">
              <w:rPr>
                <w:rFonts w:cstheme="minorHAnsi"/>
                <w:kern w:val="0"/>
                <w:sz w:val="24"/>
                <w:szCs w:val="24"/>
              </w:rPr>
              <w:t>2.</w:t>
            </w:r>
          </w:p>
        </w:tc>
        <w:tc>
          <w:tcPr>
            <w:tcW w:w="1745" w:type="dxa"/>
          </w:tcPr>
          <w:p w14:paraId="4AC7A688" w14:textId="09A47D9C" w:rsidR="0083573E" w:rsidRPr="00640C45" w:rsidRDefault="0083573E" w:rsidP="00FF6C37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sz w:val="24"/>
                <w:szCs w:val="24"/>
              </w:rPr>
            </w:pPr>
            <w:r w:rsidRPr="00640C45">
              <w:rPr>
                <w:rFonts w:cstheme="minorHAnsi"/>
                <w:kern w:val="0"/>
                <w:sz w:val="24"/>
                <w:szCs w:val="24"/>
              </w:rPr>
              <w:t>3.</w:t>
            </w:r>
          </w:p>
        </w:tc>
        <w:tc>
          <w:tcPr>
            <w:tcW w:w="1745" w:type="dxa"/>
          </w:tcPr>
          <w:p w14:paraId="684C972E" w14:textId="19977554" w:rsidR="0083573E" w:rsidRPr="00640C45" w:rsidRDefault="0083573E" w:rsidP="00FF6C37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sz w:val="24"/>
                <w:szCs w:val="24"/>
              </w:rPr>
            </w:pPr>
            <w:r w:rsidRPr="00640C45">
              <w:rPr>
                <w:rFonts w:cstheme="minorHAnsi"/>
                <w:kern w:val="0"/>
                <w:sz w:val="24"/>
                <w:szCs w:val="24"/>
              </w:rPr>
              <w:t>4.</w:t>
            </w:r>
          </w:p>
        </w:tc>
        <w:tc>
          <w:tcPr>
            <w:tcW w:w="1764" w:type="dxa"/>
          </w:tcPr>
          <w:p w14:paraId="5D50AF81" w14:textId="6CE271A3" w:rsidR="0083573E" w:rsidRPr="00640C45" w:rsidRDefault="0083573E" w:rsidP="00FF6C37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sz w:val="24"/>
                <w:szCs w:val="24"/>
              </w:rPr>
            </w:pPr>
            <w:r w:rsidRPr="00640C45">
              <w:rPr>
                <w:rFonts w:cstheme="minorHAnsi"/>
                <w:kern w:val="0"/>
                <w:sz w:val="24"/>
                <w:szCs w:val="24"/>
              </w:rPr>
              <w:t>5.</w:t>
            </w:r>
          </w:p>
        </w:tc>
        <w:tc>
          <w:tcPr>
            <w:tcW w:w="1742" w:type="dxa"/>
          </w:tcPr>
          <w:p w14:paraId="7B69C200" w14:textId="7B838195" w:rsidR="0083573E" w:rsidRPr="00640C45" w:rsidRDefault="0083573E" w:rsidP="00FF6C37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sz w:val="24"/>
                <w:szCs w:val="24"/>
              </w:rPr>
            </w:pPr>
            <w:r w:rsidRPr="00640C45">
              <w:rPr>
                <w:rFonts w:cstheme="minorHAnsi"/>
                <w:kern w:val="0"/>
                <w:sz w:val="24"/>
                <w:szCs w:val="24"/>
              </w:rPr>
              <w:t>6.</w:t>
            </w:r>
          </w:p>
        </w:tc>
        <w:tc>
          <w:tcPr>
            <w:tcW w:w="1743" w:type="dxa"/>
          </w:tcPr>
          <w:p w14:paraId="2344678C" w14:textId="068AE8B2" w:rsidR="0083573E" w:rsidRPr="00640C45" w:rsidRDefault="0083573E" w:rsidP="00FF6C37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sz w:val="24"/>
                <w:szCs w:val="24"/>
              </w:rPr>
            </w:pPr>
            <w:r w:rsidRPr="00640C45">
              <w:rPr>
                <w:rFonts w:cstheme="minorHAnsi"/>
                <w:kern w:val="0"/>
                <w:sz w:val="24"/>
                <w:szCs w:val="24"/>
              </w:rPr>
              <w:t>7.</w:t>
            </w:r>
          </w:p>
        </w:tc>
        <w:tc>
          <w:tcPr>
            <w:tcW w:w="1743" w:type="dxa"/>
          </w:tcPr>
          <w:p w14:paraId="12452EEB" w14:textId="16745BB9" w:rsidR="0083573E" w:rsidRPr="00640C45" w:rsidRDefault="0083573E" w:rsidP="00FF6C37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sz w:val="24"/>
                <w:szCs w:val="24"/>
              </w:rPr>
            </w:pPr>
            <w:r w:rsidRPr="00640C45">
              <w:rPr>
                <w:rFonts w:cstheme="minorHAnsi"/>
                <w:kern w:val="0"/>
                <w:sz w:val="24"/>
                <w:szCs w:val="24"/>
              </w:rPr>
              <w:t>8.</w:t>
            </w:r>
          </w:p>
        </w:tc>
      </w:tr>
      <w:tr w:rsidR="0083573E" w:rsidRPr="00640C45" w14:paraId="2C76F07B" w14:textId="77777777" w:rsidTr="0083573E">
        <w:tc>
          <w:tcPr>
            <w:tcW w:w="1765" w:type="dxa"/>
          </w:tcPr>
          <w:p w14:paraId="562B0FE8" w14:textId="40E51F67" w:rsidR="0083573E" w:rsidRPr="00640C45" w:rsidRDefault="009335A7" w:rsidP="00386C3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proofErr w:type="spellStart"/>
            <w:r w:rsidRPr="00640C45">
              <w:rPr>
                <w:rFonts w:cstheme="minorHAnsi"/>
                <w:kern w:val="0"/>
                <w:sz w:val="24"/>
                <w:szCs w:val="24"/>
              </w:rPr>
              <w:t>Stoisław</w:t>
            </w:r>
            <w:proofErr w:type="spellEnd"/>
          </w:p>
        </w:tc>
        <w:tc>
          <w:tcPr>
            <w:tcW w:w="1747" w:type="dxa"/>
          </w:tcPr>
          <w:p w14:paraId="4D0E24AE" w14:textId="64EFE6A7" w:rsidR="0083573E" w:rsidRPr="00640C45" w:rsidRDefault="0083573E" w:rsidP="00386C3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640C45">
              <w:rPr>
                <w:rFonts w:cstheme="minorHAnsi"/>
                <w:sz w:val="24"/>
                <w:szCs w:val="24"/>
              </w:rPr>
              <w:t>KO1K/000</w:t>
            </w:r>
            <w:r w:rsidR="009335A7" w:rsidRPr="00640C45">
              <w:rPr>
                <w:rFonts w:cstheme="minorHAnsi"/>
                <w:kern w:val="0"/>
                <w:sz w:val="24"/>
                <w:szCs w:val="24"/>
              </w:rPr>
              <w:t>53140/3</w:t>
            </w:r>
          </w:p>
        </w:tc>
        <w:tc>
          <w:tcPr>
            <w:tcW w:w="1745" w:type="dxa"/>
          </w:tcPr>
          <w:p w14:paraId="396EE0F2" w14:textId="77777777" w:rsidR="0083573E" w:rsidRPr="00640C45" w:rsidRDefault="0083573E" w:rsidP="009335A7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640C45">
              <w:rPr>
                <w:rFonts w:cstheme="minorHAnsi"/>
                <w:kern w:val="0"/>
                <w:sz w:val="24"/>
                <w:szCs w:val="24"/>
              </w:rPr>
              <w:t>0</w:t>
            </w:r>
            <w:r w:rsidR="009335A7" w:rsidRPr="00640C45">
              <w:rPr>
                <w:rFonts w:cstheme="minorHAnsi"/>
                <w:kern w:val="0"/>
                <w:sz w:val="24"/>
                <w:szCs w:val="24"/>
              </w:rPr>
              <w:t>017</w:t>
            </w:r>
          </w:p>
          <w:p w14:paraId="32A1F92F" w14:textId="59A627D2" w:rsidR="009335A7" w:rsidRPr="00640C45" w:rsidRDefault="009335A7" w:rsidP="009335A7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640C45">
              <w:rPr>
                <w:rFonts w:cstheme="minorHAnsi"/>
                <w:kern w:val="0"/>
                <w:sz w:val="24"/>
                <w:szCs w:val="24"/>
              </w:rPr>
              <w:t>Dobre</w:t>
            </w:r>
          </w:p>
        </w:tc>
        <w:tc>
          <w:tcPr>
            <w:tcW w:w="1745" w:type="dxa"/>
          </w:tcPr>
          <w:p w14:paraId="0AE14EFA" w14:textId="46B1B918" w:rsidR="0083573E" w:rsidRPr="00640C45" w:rsidRDefault="009335A7" w:rsidP="00386C3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640C45">
              <w:rPr>
                <w:rFonts w:cstheme="minorHAnsi"/>
                <w:kern w:val="0"/>
                <w:sz w:val="24"/>
                <w:szCs w:val="24"/>
              </w:rPr>
              <w:t>62/27</w:t>
            </w:r>
          </w:p>
        </w:tc>
        <w:tc>
          <w:tcPr>
            <w:tcW w:w="1764" w:type="dxa"/>
          </w:tcPr>
          <w:p w14:paraId="009F8A91" w14:textId="638804BA" w:rsidR="0083573E" w:rsidRPr="00640C45" w:rsidRDefault="009335A7" w:rsidP="00386C3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640C45">
              <w:rPr>
                <w:rFonts w:cstheme="minorHAnsi"/>
                <w:sz w:val="24"/>
                <w:szCs w:val="24"/>
              </w:rPr>
              <w:t>48,36</w:t>
            </w:r>
          </w:p>
        </w:tc>
        <w:tc>
          <w:tcPr>
            <w:tcW w:w="1742" w:type="dxa"/>
          </w:tcPr>
          <w:p w14:paraId="03938391" w14:textId="674A445F" w:rsidR="0083573E" w:rsidRPr="00640C45" w:rsidRDefault="009335A7" w:rsidP="00386C3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640C45">
              <w:rPr>
                <w:rFonts w:cstheme="minorHAnsi"/>
                <w:bCs/>
                <w:sz w:val="24"/>
                <w:szCs w:val="24"/>
              </w:rPr>
              <w:t>Lokal mieszkalny położony pod adresem 12C/2 na I kondygnacji o powierzchni 48,36 m2 wraz z pomieszczeniem przynależnym tj. piwnica o powierzchni 3,8 m2 oraz udziałem w gruncie.</w:t>
            </w:r>
          </w:p>
        </w:tc>
        <w:tc>
          <w:tcPr>
            <w:tcW w:w="1743" w:type="dxa"/>
          </w:tcPr>
          <w:p w14:paraId="4D2B0F91" w14:textId="312F260E" w:rsidR="0083573E" w:rsidRPr="00640C45" w:rsidRDefault="00BE6ED1" w:rsidP="00386C3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640C45">
              <w:rPr>
                <w:rFonts w:cstheme="minorHAnsi"/>
                <w:kern w:val="0"/>
                <w:sz w:val="24"/>
                <w:szCs w:val="24"/>
              </w:rPr>
              <w:t>176</w:t>
            </w:r>
            <w:r w:rsidR="009335A7" w:rsidRPr="00640C45">
              <w:rPr>
                <w:rFonts w:cstheme="minorHAnsi"/>
                <w:kern w:val="0"/>
                <w:sz w:val="24"/>
                <w:szCs w:val="24"/>
              </w:rPr>
              <w:t> 000,00</w:t>
            </w:r>
          </w:p>
        </w:tc>
        <w:tc>
          <w:tcPr>
            <w:tcW w:w="1743" w:type="dxa"/>
          </w:tcPr>
          <w:p w14:paraId="78A11E3D" w14:textId="58478A09" w:rsidR="0083573E" w:rsidRPr="00640C45" w:rsidRDefault="00BE6ED1" w:rsidP="00386C3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640C45">
              <w:rPr>
                <w:rFonts w:cstheme="minorHAnsi"/>
                <w:kern w:val="0"/>
                <w:sz w:val="24"/>
                <w:szCs w:val="24"/>
              </w:rPr>
              <w:t>17 6</w:t>
            </w:r>
            <w:r w:rsidR="00507589" w:rsidRPr="00640C45">
              <w:rPr>
                <w:rFonts w:cstheme="minorHAnsi"/>
                <w:kern w:val="0"/>
                <w:sz w:val="24"/>
                <w:szCs w:val="24"/>
              </w:rPr>
              <w:t>00,00</w:t>
            </w:r>
          </w:p>
          <w:p w14:paraId="48AB51F2" w14:textId="77777777" w:rsidR="00507589" w:rsidRPr="00640C45" w:rsidRDefault="00507589" w:rsidP="00386C3D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</w:p>
          <w:p w14:paraId="0801145D" w14:textId="39B58869" w:rsidR="00507589" w:rsidRPr="00640C45" w:rsidRDefault="00BE6ED1" w:rsidP="00386C3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640C45">
              <w:rPr>
                <w:rFonts w:cstheme="minorHAnsi"/>
                <w:kern w:val="0"/>
                <w:sz w:val="24"/>
                <w:szCs w:val="24"/>
              </w:rPr>
              <w:t>1 76</w:t>
            </w:r>
            <w:r w:rsidR="00507589" w:rsidRPr="00640C45">
              <w:rPr>
                <w:rFonts w:cstheme="minorHAnsi"/>
                <w:kern w:val="0"/>
                <w:sz w:val="24"/>
                <w:szCs w:val="24"/>
              </w:rPr>
              <w:t>0,00</w:t>
            </w:r>
          </w:p>
        </w:tc>
      </w:tr>
    </w:tbl>
    <w:p w14:paraId="714A01DB" w14:textId="77777777" w:rsidR="00640C45" w:rsidRPr="00640C45" w:rsidRDefault="00640C45" w:rsidP="00BA3A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p w14:paraId="7C4EACD9" w14:textId="24B06EA9" w:rsidR="00640C45" w:rsidRPr="00640C45" w:rsidRDefault="00386C3D" w:rsidP="00BA3A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640C45">
        <w:rPr>
          <w:rFonts w:cstheme="minorHAnsi"/>
          <w:kern w:val="0"/>
          <w:sz w:val="24"/>
          <w:szCs w:val="24"/>
        </w:rPr>
        <w:t>*</w:t>
      </w:r>
      <w:r w:rsidR="00640C45" w:rsidRPr="00640C45">
        <w:rPr>
          <w:rFonts w:cstheme="minorHAnsi"/>
          <w:sz w:val="24"/>
          <w:szCs w:val="24"/>
        </w:rPr>
        <w:t xml:space="preserve"> </w:t>
      </w:r>
      <w:r w:rsidR="00640C45" w:rsidRPr="00640C45">
        <w:rPr>
          <w:rFonts w:cstheme="minorHAnsi"/>
          <w:sz w:val="24"/>
          <w:szCs w:val="24"/>
        </w:rPr>
        <w:t>Cena osiągnięta w przetargu stanowi cenę nabycia, która zwolniona jest z podatku od towarów i usług na podstawie art. 43 pkt 1 ust. 10 i ust. 10 a ustawy z dnia 11 marca 2004 r. o podatku od towarów i usług ( Dz. U. z 2020 r. poz.106)</w:t>
      </w:r>
    </w:p>
    <w:p w14:paraId="1B17455A" w14:textId="4BBA618A" w:rsidR="00386C3D" w:rsidRPr="00640C45" w:rsidRDefault="00386C3D" w:rsidP="00BA3A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640C45">
        <w:rPr>
          <w:rFonts w:cstheme="minorHAnsi"/>
          <w:kern w:val="0"/>
          <w:sz w:val="24"/>
          <w:szCs w:val="24"/>
        </w:rPr>
        <w:t xml:space="preserve">Przetarg zostanie przeprowadzony w dniu </w:t>
      </w:r>
      <w:r w:rsidR="00BE6ED1" w:rsidRPr="00640C45">
        <w:rPr>
          <w:rFonts w:cstheme="minorHAnsi"/>
          <w:b/>
          <w:bCs/>
          <w:kern w:val="0"/>
          <w:sz w:val="24"/>
          <w:szCs w:val="24"/>
        </w:rPr>
        <w:t>28 listopad</w:t>
      </w:r>
      <w:r w:rsidR="00674454" w:rsidRPr="00640C45">
        <w:rPr>
          <w:rFonts w:cstheme="minorHAnsi"/>
          <w:b/>
          <w:bCs/>
          <w:kern w:val="0"/>
          <w:sz w:val="24"/>
          <w:szCs w:val="24"/>
        </w:rPr>
        <w:t xml:space="preserve">a </w:t>
      </w:r>
      <w:r w:rsidRPr="00640C45">
        <w:rPr>
          <w:rFonts w:cstheme="minorHAnsi"/>
          <w:b/>
          <w:bCs/>
          <w:kern w:val="0"/>
          <w:sz w:val="24"/>
          <w:szCs w:val="24"/>
        </w:rPr>
        <w:t>2024 r.</w:t>
      </w:r>
      <w:r w:rsidRPr="00640C45">
        <w:rPr>
          <w:rFonts w:cstheme="minorHAnsi"/>
          <w:kern w:val="0"/>
          <w:sz w:val="24"/>
          <w:szCs w:val="24"/>
        </w:rPr>
        <w:t xml:space="preserve"> o godz. </w:t>
      </w:r>
      <w:r w:rsidRPr="00640C45">
        <w:rPr>
          <w:rFonts w:cstheme="minorHAnsi"/>
          <w:b/>
          <w:bCs/>
          <w:kern w:val="0"/>
          <w:sz w:val="24"/>
          <w:szCs w:val="24"/>
        </w:rPr>
        <w:t>10.00</w:t>
      </w:r>
      <w:r w:rsidRPr="00640C45">
        <w:rPr>
          <w:rFonts w:cstheme="minorHAnsi"/>
          <w:kern w:val="0"/>
          <w:sz w:val="24"/>
          <w:szCs w:val="24"/>
        </w:rPr>
        <w:t xml:space="preserve">, w siedzibie </w:t>
      </w:r>
      <w:bookmarkStart w:id="1" w:name="_Hlk172202762"/>
      <w:r w:rsidRPr="00640C45">
        <w:rPr>
          <w:rFonts w:cstheme="minorHAnsi"/>
          <w:kern w:val="0"/>
          <w:sz w:val="24"/>
          <w:szCs w:val="24"/>
        </w:rPr>
        <w:t xml:space="preserve">Urzędu </w:t>
      </w:r>
      <w:r w:rsidR="004B2F92" w:rsidRPr="00640C45">
        <w:rPr>
          <w:rFonts w:cstheme="minorHAnsi"/>
          <w:kern w:val="0"/>
          <w:sz w:val="24"/>
          <w:szCs w:val="24"/>
        </w:rPr>
        <w:t>Gminy Będzino</w:t>
      </w:r>
      <w:bookmarkEnd w:id="1"/>
      <w:r w:rsidR="004B2F92" w:rsidRPr="00640C45">
        <w:rPr>
          <w:rFonts w:cstheme="minorHAnsi"/>
          <w:kern w:val="0"/>
          <w:sz w:val="24"/>
          <w:szCs w:val="24"/>
        </w:rPr>
        <w:t>, Będzino 19, 76-037 Będzino</w:t>
      </w:r>
      <w:r w:rsidRPr="00640C45">
        <w:rPr>
          <w:rFonts w:cstheme="minorHAnsi"/>
          <w:kern w:val="0"/>
          <w:sz w:val="24"/>
          <w:szCs w:val="24"/>
        </w:rPr>
        <w:t>, sala</w:t>
      </w:r>
      <w:r w:rsidR="004B2F92" w:rsidRPr="00640C45">
        <w:rPr>
          <w:rFonts w:cstheme="minorHAnsi"/>
          <w:kern w:val="0"/>
          <w:sz w:val="24"/>
          <w:szCs w:val="24"/>
        </w:rPr>
        <w:t xml:space="preserve"> </w:t>
      </w:r>
      <w:r w:rsidRPr="00640C45">
        <w:rPr>
          <w:rFonts w:cstheme="minorHAnsi"/>
          <w:kern w:val="0"/>
          <w:sz w:val="24"/>
          <w:szCs w:val="24"/>
        </w:rPr>
        <w:t xml:space="preserve">nr </w:t>
      </w:r>
      <w:r w:rsidR="004B2F92" w:rsidRPr="00640C45">
        <w:rPr>
          <w:rFonts w:cstheme="minorHAnsi"/>
          <w:kern w:val="0"/>
          <w:sz w:val="24"/>
          <w:szCs w:val="24"/>
        </w:rPr>
        <w:t>15</w:t>
      </w:r>
      <w:r w:rsidRPr="00640C45">
        <w:rPr>
          <w:rFonts w:cstheme="minorHAnsi"/>
          <w:kern w:val="0"/>
          <w:sz w:val="24"/>
          <w:szCs w:val="24"/>
        </w:rPr>
        <w:t xml:space="preserve"> (I piętro).</w:t>
      </w:r>
    </w:p>
    <w:p w14:paraId="454062E8" w14:textId="76FC52B6" w:rsidR="00386C3D" w:rsidRPr="00640C45" w:rsidRDefault="00386C3D" w:rsidP="00BA3A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640C45">
        <w:rPr>
          <w:rFonts w:cstheme="minorHAnsi"/>
          <w:kern w:val="0"/>
          <w:sz w:val="24"/>
          <w:szCs w:val="24"/>
        </w:rPr>
        <w:t>Do przetargu mogą przystąpić osoby fizyczne i prawne. Cudzoziemcy na zasadach określonych w ustawie z dnia 24 marca 1920r. o nabywaniu nieruchomości</w:t>
      </w:r>
      <w:r w:rsidR="004B2F92" w:rsidRPr="00640C45">
        <w:rPr>
          <w:rFonts w:cstheme="minorHAnsi"/>
          <w:kern w:val="0"/>
          <w:sz w:val="24"/>
          <w:szCs w:val="24"/>
        </w:rPr>
        <w:t xml:space="preserve"> </w:t>
      </w:r>
      <w:r w:rsidRPr="00640C45">
        <w:rPr>
          <w:rFonts w:cstheme="minorHAnsi"/>
          <w:kern w:val="0"/>
          <w:sz w:val="24"/>
          <w:szCs w:val="24"/>
        </w:rPr>
        <w:t>przez cudzoziemców (Dz. U. z 2017r. poz. 2278).</w:t>
      </w:r>
    </w:p>
    <w:p w14:paraId="11FDF758" w14:textId="04299D16" w:rsidR="00386C3D" w:rsidRPr="00640C45" w:rsidRDefault="00386C3D" w:rsidP="00BA3A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640C45">
        <w:rPr>
          <w:rFonts w:cstheme="minorHAnsi"/>
          <w:kern w:val="0"/>
          <w:sz w:val="24"/>
          <w:szCs w:val="24"/>
        </w:rPr>
        <w:lastRenderedPageBreak/>
        <w:t>Warunkiem udziału w przetargu jest wniesienie wadium w wysokości i terminie wyznaczonych w ogłoszeniu o przetargu oraz okazanie komisji</w:t>
      </w:r>
      <w:r w:rsidR="004B2F92" w:rsidRPr="00640C45">
        <w:rPr>
          <w:rFonts w:cstheme="minorHAnsi"/>
          <w:kern w:val="0"/>
          <w:sz w:val="24"/>
          <w:szCs w:val="24"/>
        </w:rPr>
        <w:t xml:space="preserve"> </w:t>
      </w:r>
      <w:r w:rsidRPr="00640C45">
        <w:rPr>
          <w:rFonts w:cstheme="minorHAnsi"/>
          <w:kern w:val="0"/>
          <w:sz w:val="24"/>
          <w:szCs w:val="24"/>
        </w:rPr>
        <w:t>przetargowej przed otwarciem przetargu:</w:t>
      </w:r>
    </w:p>
    <w:p w14:paraId="5810D7DD" w14:textId="77777777" w:rsidR="004B2F92" w:rsidRPr="00640C45" w:rsidRDefault="00386C3D" w:rsidP="004B2F9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640C45">
        <w:rPr>
          <w:rFonts w:cstheme="minorHAnsi"/>
          <w:kern w:val="0"/>
          <w:sz w:val="24"/>
          <w:szCs w:val="24"/>
        </w:rPr>
        <w:t>w przypadku osób fizycznych – dowodu tożsamości, pełnomocnictwa sporządzonego notarialnie w przypadku reprezentowania osoby fizycznej. Przy</w:t>
      </w:r>
      <w:r w:rsidR="004B2F92" w:rsidRPr="00640C45">
        <w:rPr>
          <w:rFonts w:cstheme="minorHAnsi"/>
          <w:kern w:val="0"/>
          <w:sz w:val="24"/>
          <w:szCs w:val="24"/>
        </w:rPr>
        <w:t xml:space="preserve"> </w:t>
      </w:r>
      <w:r w:rsidRPr="00640C45">
        <w:rPr>
          <w:rFonts w:cstheme="minorHAnsi"/>
          <w:kern w:val="0"/>
          <w:sz w:val="24"/>
          <w:szCs w:val="24"/>
        </w:rPr>
        <w:t>nabywaniu nieruchomości do majątku wspólnego, wymagana jest obecność obojga małżonków lub jednego z nich, posiadającego pełnomocnictwo (zgodę)</w:t>
      </w:r>
      <w:r w:rsidR="004B2F92" w:rsidRPr="00640C45">
        <w:rPr>
          <w:rFonts w:cstheme="minorHAnsi"/>
          <w:kern w:val="0"/>
          <w:sz w:val="24"/>
          <w:szCs w:val="24"/>
        </w:rPr>
        <w:t xml:space="preserve"> </w:t>
      </w:r>
      <w:r w:rsidRPr="00640C45">
        <w:rPr>
          <w:rFonts w:cstheme="minorHAnsi"/>
          <w:kern w:val="0"/>
          <w:sz w:val="24"/>
          <w:szCs w:val="24"/>
        </w:rPr>
        <w:t>współmałżonka z notarialnym poświadczeniem podpisu, na nabycie nieruchomości i zaciągnięcie zobowiązań z tego tytułu;</w:t>
      </w:r>
    </w:p>
    <w:p w14:paraId="087317C8" w14:textId="77777777" w:rsidR="004B2F92" w:rsidRPr="00640C45" w:rsidRDefault="00386C3D" w:rsidP="004B2F9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640C45">
        <w:rPr>
          <w:rFonts w:cstheme="minorHAnsi"/>
          <w:kern w:val="0"/>
          <w:sz w:val="24"/>
          <w:szCs w:val="24"/>
        </w:rPr>
        <w:t>w przypadku osób fizycznych zamierzających nabyć nieruchomość w związku z prowadzoną działalnością gospodarczą – dowodu tożsamości i aktualnego</w:t>
      </w:r>
      <w:r w:rsidR="004B2F92" w:rsidRPr="00640C45">
        <w:rPr>
          <w:rFonts w:cstheme="minorHAnsi"/>
          <w:kern w:val="0"/>
          <w:sz w:val="24"/>
          <w:szCs w:val="24"/>
        </w:rPr>
        <w:t xml:space="preserve"> </w:t>
      </w:r>
      <w:r w:rsidRPr="00640C45">
        <w:rPr>
          <w:rFonts w:cstheme="minorHAnsi"/>
          <w:kern w:val="0"/>
          <w:sz w:val="24"/>
          <w:szCs w:val="24"/>
        </w:rPr>
        <w:t>wyciągu z Centralnej Ewidencji i Informacji o Działalności Gospodarczej. Przy nabywaniu nieruchomości do majątku wspólnego, wymagana jest obecność</w:t>
      </w:r>
      <w:r w:rsidR="004B2F92" w:rsidRPr="00640C45">
        <w:rPr>
          <w:rFonts w:cstheme="minorHAnsi"/>
          <w:kern w:val="0"/>
          <w:sz w:val="24"/>
          <w:szCs w:val="24"/>
        </w:rPr>
        <w:t xml:space="preserve"> </w:t>
      </w:r>
      <w:r w:rsidRPr="00640C45">
        <w:rPr>
          <w:rFonts w:cstheme="minorHAnsi"/>
          <w:kern w:val="0"/>
          <w:sz w:val="24"/>
          <w:szCs w:val="24"/>
        </w:rPr>
        <w:t>obojga małżonków lub jednego z nich, posiadającego pełnomocnictwo (zgodę) współmałżonka z notarialnym poświadczeniem podpisu, na nabycie</w:t>
      </w:r>
      <w:r w:rsidR="004B2F92" w:rsidRPr="00640C45">
        <w:rPr>
          <w:rFonts w:cstheme="minorHAnsi"/>
          <w:kern w:val="0"/>
          <w:sz w:val="24"/>
          <w:szCs w:val="24"/>
        </w:rPr>
        <w:t xml:space="preserve"> </w:t>
      </w:r>
      <w:r w:rsidRPr="00640C45">
        <w:rPr>
          <w:rFonts w:cstheme="minorHAnsi"/>
          <w:kern w:val="0"/>
          <w:sz w:val="24"/>
          <w:szCs w:val="24"/>
        </w:rPr>
        <w:t>nieruchomości i zaciągnięcie zobowiązań z tego tytułu;</w:t>
      </w:r>
    </w:p>
    <w:p w14:paraId="004B6317" w14:textId="77777777" w:rsidR="004B2F92" w:rsidRPr="00640C45" w:rsidRDefault="00386C3D" w:rsidP="004B2F9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640C45">
        <w:rPr>
          <w:rFonts w:cstheme="minorHAnsi"/>
          <w:kern w:val="0"/>
          <w:sz w:val="24"/>
          <w:szCs w:val="24"/>
        </w:rPr>
        <w:t>w przypadku spółek cywilnych – dowodów tożsamości wspólników spółki, właściwych pełnomocnictw sporządzonych notarialnie, aktualnego wyciągu</w:t>
      </w:r>
      <w:r w:rsidR="004B2F92" w:rsidRPr="00640C45">
        <w:rPr>
          <w:rFonts w:cstheme="minorHAnsi"/>
          <w:kern w:val="0"/>
          <w:sz w:val="24"/>
          <w:szCs w:val="24"/>
        </w:rPr>
        <w:t xml:space="preserve"> </w:t>
      </w:r>
      <w:r w:rsidRPr="00640C45">
        <w:rPr>
          <w:rFonts w:cstheme="minorHAnsi"/>
          <w:kern w:val="0"/>
          <w:sz w:val="24"/>
          <w:szCs w:val="24"/>
        </w:rPr>
        <w:t>z Centralnej Ewidencji i Informacji o Działalności Gospodarczej wspólników, aktualnego wyciągu z Bazy Internetowej REGON Głównego Urzędu</w:t>
      </w:r>
      <w:r w:rsidR="004B2F92" w:rsidRPr="00640C45">
        <w:rPr>
          <w:rFonts w:cstheme="minorHAnsi"/>
          <w:kern w:val="0"/>
          <w:sz w:val="24"/>
          <w:szCs w:val="24"/>
        </w:rPr>
        <w:t xml:space="preserve"> </w:t>
      </w:r>
      <w:r w:rsidRPr="00640C45">
        <w:rPr>
          <w:rFonts w:cstheme="minorHAnsi"/>
          <w:kern w:val="0"/>
          <w:sz w:val="24"/>
          <w:szCs w:val="24"/>
        </w:rPr>
        <w:t>Statystycznego dotyczącego spółki;</w:t>
      </w:r>
    </w:p>
    <w:p w14:paraId="37122B25" w14:textId="4C098478" w:rsidR="00386C3D" w:rsidRPr="00640C45" w:rsidRDefault="00386C3D" w:rsidP="004B2F9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640C45">
        <w:rPr>
          <w:rFonts w:cstheme="minorHAnsi"/>
          <w:kern w:val="0"/>
          <w:sz w:val="24"/>
          <w:szCs w:val="24"/>
        </w:rPr>
        <w:t>w przypadku osób prawnych – aktualnego odpisu z właściwego rejestru, właściwych pełnomocnictw sporządzonych notarialnie, dowodów tożsamości osób</w:t>
      </w:r>
      <w:r w:rsidR="004B2F92" w:rsidRPr="00640C45">
        <w:rPr>
          <w:rFonts w:cstheme="minorHAnsi"/>
          <w:kern w:val="0"/>
          <w:sz w:val="24"/>
          <w:szCs w:val="24"/>
        </w:rPr>
        <w:t xml:space="preserve"> </w:t>
      </w:r>
      <w:r w:rsidRPr="00640C45">
        <w:rPr>
          <w:rFonts w:cstheme="minorHAnsi"/>
          <w:kern w:val="0"/>
          <w:sz w:val="24"/>
          <w:szCs w:val="24"/>
        </w:rPr>
        <w:t>reprezentujących podmiot, w przypadku cudzoziemców w rozumieniu ustawy z dnia 24 marca 1920r. o nabywaniu nieruchomości przez cudzoziemców</w:t>
      </w:r>
      <w:r w:rsidR="004B2F92" w:rsidRPr="00640C45">
        <w:rPr>
          <w:rFonts w:cstheme="minorHAnsi"/>
          <w:kern w:val="0"/>
          <w:sz w:val="24"/>
          <w:szCs w:val="24"/>
        </w:rPr>
        <w:t xml:space="preserve"> </w:t>
      </w:r>
      <w:r w:rsidRPr="00640C45">
        <w:rPr>
          <w:rFonts w:cstheme="minorHAnsi"/>
          <w:kern w:val="0"/>
          <w:sz w:val="24"/>
          <w:szCs w:val="24"/>
        </w:rPr>
        <w:t>(Dz.U. z 2017r. poz. 2278) odpisu z właściwego rejestru przetłumaczonego przez tłumacza przysięgłego;</w:t>
      </w:r>
    </w:p>
    <w:p w14:paraId="6494DAB3" w14:textId="4F0DE961" w:rsidR="00FF12C1" w:rsidRPr="00640C45" w:rsidRDefault="00386C3D" w:rsidP="00386C3D">
      <w:pPr>
        <w:rPr>
          <w:rFonts w:cstheme="minorHAnsi"/>
          <w:kern w:val="0"/>
          <w:sz w:val="24"/>
          <w:szCs w:val="24"/>
        </w:rPr>
      </w:pPr>
      <w:r w:rsidRPr="00640C45">
        <w:rPr>
          <w:rFonts w:cstheme="minorHAnsi"/>
          <w:kern w:val="0"/>
          <w:sz w:val="24"/>
          <w:szCs w:val="24"/>
        </w:rPr>
        <w:t>Wszystkie wyżej wymienione dokumenty powinny mieć formę pisemną (papierową).</w:t>
      </w:r>
    </w:p>
    <w:p w14:paraId="176DC279" w14:textId="0F4168FC" w:rsidR="00974B3D" w:rsidRPr="00640C45" w:rsidRDefault="00974B3D" w:rsidP="007F1664">
      <w:pPr>
        <w:jc w:val="both"/>
        <w:rPr>
          <w:rFonts w:cstheme="minorHAnsi"/>
          <w:sz w:val="24"/>
          <w:szCs w:val="24"/>
        </w:rPr>
      </w:pPr>
      <w:r w:rsidRPr="00640C45">
        <w:rPr>
          <w:rFonts w:cstheme="minorHAnsi"/>
          <w:b/>
          <w:bCs/>
          <w:sz w:val="24"/>
          <w:szCs w:val="24"/>
        </w:rPr>
        <w:t xml:space="preserve">Wadium należy wnieść najpóźniej do dnia </w:t>
      </w:r>
      <w:r w:rsidR="00BE6ED1" w:rsidRPr="00640C45">
        <w:rPr>
          <w:rFonts w:cstheme="minorHAnsi"/>
          <w:b/>
          <w:bCs/>
          <w:sz w:val="24"/>
          <w:szCs w:val="24"/>
        </w:rPr>
        <w:t>21 listopad</w:t>
      </w:r>
      <w:r w:rsidR="00EE419E" w:rsidRPr="00640C45">
        <w:rPr>
          <w:rFonts w:cstheme="minorHAnsi"/>
          <w:b/>
          <w:bCs/>
          <w:sz w:val="24"/>
          <w:szCs w:val="24"/>
        </w:rPr>
        <w:t>a</w:t>
      </w:r>
      <w:r w:rsidRPr="00640C45">
        <w:rPr>
          <w:rFonts w:cstheme="minorHAnsi"/>
          <w:b/>
          <w:bCs/>
          <w:sz w:val="24"/>
          <w:szCs w:val="24"/>
        </w:rPr>
        <w:t xml:space="preserve"> 2024r. włącznie</w:t>
      </w:r>
      <w:r w:rsidRPr="00640C45">
        <w:rPr>
          <w:rFonts w:cstheme="minorHAnsi"/>
          <w:sz w:val="24"/>
          <w:szCs w:val="24"/>
        </w:rPr>
        <w:t>, z zaznaczeniem nieruchomości której dotyczy, przelewem bankowym środków</w:t>
      </w:r>
      <w:r w:rsidR="00EE419E" w:rsidRPr="00640C45">
        <w:rPr>
          <w:rFonts w:cstheme="minorHAnsi"/>
          <w:sz w:val="24"/>
          <w:szCs w:val="24"/>
        </w:rPr>
        <w:t xml:space="preserve"> </w:t>
      </w:r>
      <w:r w:rsidRPr="00640C45">
        <w:rPr>
          <w:rFonts w:cstheme="minorHAnsi"/>
          <w:sz w:val="24"/>
          <w:szCs w:val="24"/>
        </w:rPr>
        <w:t xml:space="preserve">pieniężnych lub gotówką na </w:t>
      </w:r>
      <w:bookmarkStart w:id="2" w:name="_Hlk172202652"/>
      <w:r w:rsidRPr="00640C45">
        <w:rPr>
          <w:rFonts w:cstheme="minorHAnsi"/>
          <w:sz w:val="24"/>
          <w:szCs w:val="24"/>
        </w:rPr>
        <w:t xml:space="preserve">rachunek Urzędu </w:t>
      </w:r>
      <w:r w:rsidR="003B18FC" w:rsidRPr="00640C45">
        <w:rPr>
          <w:rFonts w:cstheme="minorHAnsi"/>
          <w:sz w:val="24"/>
          <w:szCs w:val="24"/>
        </w:rPr>
        <w:t>Gminy</w:t>
      </w:r>
      <w:r w:rsidRPr="00640C45">
        <w:rPr>
          <w:rFonts w:cstheme="minorHAnsi"/>
          <w:sz w:val="24"/>
          <w:szCs w:val="24"/>
        </w:rPr>
        <w:t xml:space="preserve"> </w:t>
      </w:r>
      <w:r w:rsidR="003B18FC" w:rsidRPr="00640C45">
        <w:rPr>
          <w:rFonts w:cstheme="minorHAnsi"/>
          <w:sz w:val="24"/>
          <w:szCs w:val="24"/>
        </w:rPr>
        <w:t>Będzino</w:t>
      </w:r>
      <w:r w:rsidR="00444C86" w:rsidRPr="00640C45">
        <w:rPr>
          <w:rFonts w:cstheme="minorHAnsi"/>
          <w:sz w:val="24"/>
          <w:szCs w:val="24"/>
        </w:rPr>
        <w:t>, któr</w:t>
      </w:r>
      <w:r w:rsidR="002E1642" w:rsidRPr="00640C45">
        <w:rPr>
          <w:rFonts w:cstheme="minorHAnsi"/>
          <w:sz w:val="24"/>
          <w:szCs w:val="24"/>
        </w:rPr>
        <w:t>y</w:t>
      </w:r>
      <w:r w:rsidR="00444C86" w:rsidRPr="00640C45">
        <w:rPr>
          <w:rFonts w:cstheme="minorHAnsi"/>
          <w:sz w:val="24"/>
          <w:szCs w:val="24"/>
        </w:rPr>
        <w:t xml:space="preserve"> prowadzi </w:t>
      </w:r>
      <w:r w:rsidR="00712C6F" w:rsidRPr="00640C45">
        <w:rPr>
          <w:rFonts w:cstheme="minorHAnsi"/>
          <w:sz w:val="24"/>
          <w:szCs w:val="24"/>
        </w:rPr>
        <w:t>Pomorski Bank Spółdzielczy w Świdwinie / Oddział Będzino nr 52 8581 1014 0200 0143 2000 0003</w:t>
      </w:r>
      <w:r w:rsidR="00BE6ED1" w:rsidRPr="00640C45">
        <w:rPr>
          <w:rFonts w:cstheme="minorHAnsi"/>
          <w:sz w:val="24"/>
          <w:szCs w:val="24"/>
        </w:rPr>
        <w:t>.</w:t>
      </w:r>
    </w:p>
    <w:bookmarkEnd w:id="2"/>
    <w:p w14:paraId="68CA4D8F" w14:textId="44043E5A" w:rsidR="00974B3D" w:rsidRPr="00640C45" w:rsidRDefault="00974B3D" w:rsidP="007F1664">
      <w:pPr>
        <w:jc w:val="both"/>
        <w:rPr>
          <w:rFonts w:cstheme="minorHAnsi"/>
          <w:sz w:val="24"/>
          <w:szCs w:val="24"/>
        </w:rPr>
      </w:pPr>
      <w:r w:rsidRPr="00640C45">
        <w:rPr>
          <w:rFonts w:cstheme="minorHAnsi"/>
          <w:sz w:val="24"/>
          <w:szCs w:val="24"/>
        </w:rPr>
        <w:t xml:space="preserve">Za datę wniesienia wadium uważa się datę wpływu środków pieniężnych na </w:t>
      </w:r>
      <w:r w:rsidR="003B18FC" w:rsidRPr="00640C45">
        <w:rPr>
          <w:rFonts w:cstheme="minorHAnsi"/>
          <w:sz w:val="24"/>
          <w:szCs w:val="24"/>
        </w:rPr>
        <w:t>wyżej podane konto</w:t>
      </w:r>
      <w:r w:rsidRPr="00640C45">
        <w:rPr>
          <w:rFonts w:cstheme="minorHAnsi"/>
          <w:sz w:val="24"/>
          <w:szCs w:val="24"/>
        </w:rPr>
        <w:t xml:space="preserve"> Urzędu </w:t>
      </w:r>
      <w:r w:rsidR="003B18FC" w:rsidRPr="00640C45">
        <w:rPr>
          <w:rFonts w:cstheme="minorHAnsi"/>
          <w:sz w:val="24"/>
          <w:szCs w:val="24"/>
        </w:rPr>
        <w:t>Gminy Będzino</w:t>
      </w:r>
      <w:r w:rsidRPr="00640C45">
        <w:rPr>
          <w:rFonts w:cstheme="minorHAnsi"/>
          <w:sz w:val="24"/>
          <w:szCs w:val="24"/>
        </w:rPr>
        <w:t>.</w:t>
      </w:r>
    </w:p>
    <w:p w14:paraId="234286C3" w14:textId="2FD73208" w:rsidR="00974B3D" w:rsidRPr="00640C45" w:rsidRDefault="00974B3D" w:rsidP="007F1664">
      <w:pPr>
        <w:jc w:val="both"/>
        <w:rPr>
          <w:rFonts w:cstheme="minorHAnsi"/>
          <w:sz w:val="24"/>
          <w:szCs w:val="24"/>
        </w:rPr>
      </w:pPr>
      <w:r w:rsidRPr="00640C45">
        <w:rPr>
          <w:rFonts w:cstheme="minorHAnsi"/>
          <w:sz w:val="24"/>
          <w:szCs w:val="24"/>
        </w:rPr>
        <w:t xml:space="preserve">Wpłaty należy dokonać z takim wyprzedzeniem, aby wyżej wymieniona kwota wadium wpłynęła na konto </w:t>
      </w:r>
      <w:r w:rsidR="003B18FC" w:rsidRPr="00640C45">
        <w:rPr>
          <w:rFonts w:cstheme="minorHAnsi"/>
          <w:sz w:val="24"/>
          <w:szCs w:val="24"/>
        </w:rPr>
        <w:t xml:space="preserve">Urzędu Gminy Będzino </w:t>
      </w:r>
      <w:r w:rsidRPr="00640C45">
        <w:rPr>
          <w:rFonts w:cstheme="minorHAnsi"/>
          <w:sz w:val="24"/>
          <w:szCs w:val="24"/>
        </w:rPr>
        <w:t>w określonym w ogłoszeniu</w:t>
      </w:r>
      <w:r w:rsidR="003B18FC" w:rsidRPr="00640C45">
        <w:rPr>
          <w:rFonts w:cstheme="minorHAnsi"/>
          <w:sz w:val="24"/>
          <w:szCs w:val="24"/>
        </w:rPr>
        <w:t xml:space="preserve"> </w:t>
      </w:r>
      <w:r w:rsidRPr="00640C45">
        <w:rPr>
          <w:rFonts w:cstheme="minorHAnsi"/>
          <w:sz w:val="24"/>
          <w:szCs w:val="24"/>
        </w:rPr>
        <w:t>terminie.</w:t>
      </w:r>
    </w:p>
    <w:p w14:paraId="24175A2E" w14:textId="3A19CDE7" w:rsidR="00974B3D" w:rsidRPr="00640C45" w:rsidRDefault="00974B3D" w:rsidP="007F1664">
      <w:pPr>
        <w:jc w:val="both"/>
        <w:rPr>
          <w:rFonts w:cstheme="minorHAnsi"/>
          <w:sz w:val="24"/>
          <w:szCs w:val="24"/>
        </w:rPr>
      </w:pPr>
      <w:r w:rsidRPr="00640C45">
        <w:rPr>
          <w:rFonts w:cstheme="minorHAnsi"/>
          <w:sz w:val="24"/>
          <w:szCs w:val="24"/>
        </w:rPr>
        <w:t>Wadium osoby wygrywającej przetarg zalicza się na poczet ceny nabycia nieruchomości. Pozostałym uczestnikom przetargu wadium zostanie zwrócone</w:t>
      </w:r>
      <w:r w:rsidR="003B18FC" w:rsidRPr="00640C45">
        <w:rPr>
          <w:rFonts w:cstheme="minorHAnsi"/>
          <w:sz w:val="24"/>
          <w:szCs w:val="24"/>
        </w:rPr>
        <w:t xml:space="preserve"> </w:t>
      </w:r>
      <w:r w:rsidRPr="00640C45">
        <w:rPr>
          <w:rFonts w:cstheme="minorHAnsi"/>
          <w:sz w:val="24"/>
          <w:szCs w:val="24"/>
        </w:rPr>
        <w:t xml:space="preserve">po przetargu, nie później niż przed upływem 3 dni od dnia zamknięcia przetargu. Wadium ulega przepadkowi na rzecz </w:t>
      </w:r>
      <w:r w:rsidR="003B18FC" w:rsidRPr="00640C45">
        <w:rPr>
          <w:rFonts w:cstheme="minorHAnsi"/>
          <w:sz w:val="24"/>
          <w:szCs w:val="24"/>
        </w:rPr>
        <w:t>Gminy Będzino</w:t>
      </w:r>
      <w:r w:rsidRPr="00640C45">
        <w:rPr>
          <w:rFonts w:cstheme="minorHAnsi"/>
          <w:sz w:val="24"/>
          <w:szCs w:val="24"/>
        </w:rPr>
        <w:t>, jeżeli osoba ustalona jako</w:t>
      </w:r>
      <w:r w:rsidR="003B18FC" w:rsidRPr="00640C45">
        <w:rPr>
          <w:rFonts w:cstheme="minorHAnsi"/>
          <w:sz w:val="24"/>
          <w:szCs w:val="24"/>
        </w:rPr>
        <w:t xml:space="preserve"> </w:t>
      </w:r>
      <w:r w:rsidRPr="00640C45">
        <w:rPr>
          <w:rFonts w:cstheme="minorHAnsi"/>
          <w:sz w:val="24"/>
          <w:szCs w:val="24"/>
        </w:rPr>
        <w:t xml:space="preserve">Nabywca nieruchomości nie przystąpi bez usprawiedliwienia do zawarcia umowy w formie aktu notarialnego w miejscu </w:t>
      </w:r>
      <w:r w:rsidRPr="00640C45">
        <w:rPr>
          <w:rFonts w:cstheme="minorHAnsi"/>
          <w:sz w:val="24"/>
          <w:szCs w:val="24"/>
        </w:rPr>
        <w:lastRenderedPageBreak/>
        <w:t>i terminie podany</w:t>
      </w:r>
      <w:r w:rsidR="00944295" w:rsidRPr="00640C45">
        <w:rPr>
          <w:rFonts w:cstheme="minorHAnsi"/>
          <w:sz w:val="24"/>
          <w:szCs w:val="24"/>
        </w:rPr>
        <w:t>m</w:t>
      </w:r>
      <w:r w:rsidRPr="00640C45">
        <w:rPr>
          <w:rFonts w:cstheme="minorHAnsi"/>
          <w:sz w:val="24"/>
          <w:szCs w:val="24"/>
        </w:rPr>
        <w:t xml:space="preserve"> w zawiadomieniu</w:t>
      </w:r>
      <w:r w:rsidR="003B18FC" w:rsidRPr="00640C45">
        <w:rPr>
          <w:rFonts w:cstheme="minorHAnsi"/>
          <w:sz w:val="24"/>
          <w:szCs w:val="24"/>
        </w:rPr>
        <w:t xml:space="preserve"> </w:t>
      </w:r>
      <w:r w:rsidRPr="00640C45">
        <w:rPr>
          <w:rFonts w:cstheme="minorHAnsi"/>
          <w:sz w:val="24"/>
          <w:szCs w:val="24"/>
        </w:rPr>
        <w:t>lub też gdy Nabywca (osoba prawna), który do nabycia nieruchomości zobowiązany jest mieć zgodę odpowiedniego organu, do dnia zawarcia umowy</w:t>
      </w:r>
      <w:r w:rsidR="003B18FC" w:rsidRPr="00640C45">
        <w:rPr>
          <w:rFonts w:cstheme="minorHAnsi"/>
          <w:sz w:val="24"/>
          <w:szCs w:val="24"/>
        </w:rPr>
        <w:t xml:space="preserve"> </w:t>
      </w:r>
      <w:r w:rsidRPr="00640C45">
        <w:rPr>
          <w:rFonts w:cstheme="minorHAnsi"/>
          <w:sz w:val="24"/>
          <w:szCs w:val="24"/>
        </w:rPr>
        <w:t>sprzedaży nieruchomości nie przedstawi takiej zgody lub gdy Nabywca będący Cudzoziemcem nie uzyska zezwolenia ministra właściwego do spraw</w:t>
      </w:r>
      <w:r w:rsidR="003B18FC" w:rsidRPr="00640C45">
        <w:rPr>
          <w:rFonts w:cstheme="minorHAnsi"/>
          <w:sz w:val="24"/>
          <w:szCs w:val="24"/>
        </w:rPr>
        <w:t xml:space="preserve"> </w:t>
      </w:r>
      <w:r w:rsidRPr="00640C45">
        <w:rPr>
          <w:rFonts w:cstheme="minorHAnsi"/>
          <w:sz w:val="24"/>
          <w:szCs w:val="24"/>
        </w:rPr>
        <w:t>wewnętrznych na zakup nieruchomości.</w:t>
      </w:r>
    </w:p>
    <w:p w14:paraId="2EEB5E32" w14:textId="77777777" w:rsidR="00974B3D" w:rsidRPr="00640C45" w:rsidRDefault="00974B3D" w:rsidP="007F1664">
      <w:pPr>
        <w:jc w:val="both"/>
        <w:rPr>
          <w:rFonts w:cstheme="minorHAnsi"/>
          <w:sz w:val="24"/>
          <w:szCs w:val="24"/>
        </w:rPr>
      </w:pPr>
      <w:r w:rsidRPr="00640C45">
        <w:rPr>
          <w:rFonts w:cstheme="minorHAnsi"/>
          <w:sz w:val="24"/>
          <w:szCs w:val="24"/>
        </w:rPr>
        <w:t>INFORMACJE DODATKOWE</w:t>
      </w:r>
    </w:p>
    <w:p w14:paraId="607B6DCF" w14:textId="074A4CD6" w:rsidR="00974B3D" w:rsidRPr="00640C45" w:rsidRDefault="00974B3D" w:rsidP="00A92377">
      <w:pPr>
        <w:pStyle w:val="Akapitzlist"/>
        <w:numPr>
          <w:ilvl w:val="0"/>
          <w:numId w:val="3"/>
        </w:numPr>
        <w:ind w:left="284"/>
        <w:jc w:val="both"/>
        <w:rPr>
          <w:rFonts w:cstheme="minorHAnsi"/>
          <w:sz w:val="24"/>
          <w:szCs w:val="24"/>
        </w:rPr>
      </w:pPr>
      <w:r w:rsidRPr="00640C45">
        <w:rPr>
          <w:rFonts w:cstheme="minorHAnsi"/>
          <w:sz w:val="24"/>
          <w:szCs w:val="24"/>
        </w:rPr>
        <w:t>Opłaty notarialne i sądowe związane z zawarciem umowy sprzedaży w formie aktu notarialnego oraz z założeniem i wpisami do księgi wieczystej, koszty</w:t>
      </w:r>
      <w:r w:rsidR="00154F17" w:rsidRPr="00640C45">
        <w:rPr>
          <w:rFonts w:cstheme="minorHAnsi"/>
          <w:sz w:val="24"/>
          <w:szCs w:val="24"/>
        </w:rPr>
        <w:t xml:space="preserve"> </w:t>
      </w:r>
      <w:r w:rsidRPr="00640C45">
        <w:rPr>
          <w:rFonts w:cstheme="minorHAnsi"/>
          <w:sz w:val="24"/>
          <w:szCs w:val="24"/>
        </w:rPr>
        <w:t>związane z okazaniem granic w całości ponosi Nabywca nieruchomości.</w:t>
      </w:r>
    </w:p>
    <w:p w14:paraId="7A3098A1" w14:textId="77777777" w:rsidR="00974B3D" w:rsidRPr="00640C45" w:rsidRDefault="00974B3D" w:rsidP="00F9026E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40C45">
        <w:rPr>
          <w:rFonts w:cstheme="minorHAnsi"/>
          <w:sz w:val="24"/>
          <w:szCs w:val="24"/>
        </w:rPr>
        <w:t>Przed przystąpieniem do przetargu należy zapoznać się z warunkami przetargu oraz dokumentacją dotyczącą nieruchomości.</w:t>
      </w:r>
    </w:p>
    <w:p w14:paraId="355C510D" w14:textId="3BF435A5" w:rsidR="00974B3D" w:rsidRPr="00640C45" w:rsidRDefault="002E1642" w:rsidP="00F9026E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40C45">
        <w:rPr>
          <w:rFonts w:cstheme="minorHAnsi"/>
          <w:sz w:val="24"/>
          <w:szCs w:val="24"/>
        </w:rPr>
        <w:t>I</w:t>
      </w:r>
      <w:r w:rsidR="00974B3D" w:rsidRPr="00640C45">
        <w:rPr>
          <w:rFonts w:cstheme="minorHAnsi"/>
          <w:sz w:val="24"/>
          <w:szCs w:val="24"/>
        </w:rPr>
        <w:t xml:space="preserve">nformacje </w:t>
      </w:r>
      <w:r w:rsidR="00944295" w:rsidRPr="00640C45">
        <w:rPr>
          <w:rFonts w:cstheme="minorHAnsi"/>
          <w:sz w:val="24"/>
          <w:szCs w:val="24"/>
        </w:rPr>
        <w:t xml:space="preserve">dotyczące przedmiotowej nieruchomości </w:t>
      </w:r>
      <w:r w:rsidR="00974B3D" w:rsidRPr="00640C45">
        <w:rPr>
          <w:rFonts w:cstheme="minorHAnsi"/>
          <w:sz w:val="24"/>
          <w:szCs w:val="24"/>
        </w:rPr>
        <w:t xml:space="preserve">można uzyskać w </w:t>
      </w:r>
      <w:r w:rsidR="00154F17" w:rsidRPr="00640C45">
        <w:rPr>
          <w:rFonts w:cstheme="minorHAnsi"/>
          <w:sz w:val="24"/>
          <w:szCs w:val="24"/>
        </w:rPr>
        <w:t xml:space="preserve">Urzędzie Gminy Będzino, </w:t>
      </w:r>
      <w:r w:rsidR="00974B3D" w:rsidRPr="00640C45">
        <w:rPr>
          <w:rFonts w:cstheme="minorHAnsi"/>
          <w:sz w:val="24"/>
          <w:szCs w:val="24"/>
        </w:rPr>
        <w:t xml:space="preserve">pokój </w:t>
      </w:r>
      <w:r w:rsidR="00154F17" w:rsidRPr="00640C45">
        <w:rPr>
          <w:rFonts w:cstheme="minorHAnsi"/>
          <w:sz w:val="24"/>
          <w:szCs w:val="24"/>
        </w:rPr>
        <w:t>nr 4</w:t>
      </w:r>
      <w:r w:rsidR="00EE0C4F" w:rsidRPr="00640C45">
        <w:rPr>
          <w:rFonts w:cstheme="minorHAnsi"/>
          <w:sz w:val="24"/>
          <w:szCs w:val="24"/>
        </w:rPr>
        <w:t xml:space="preserve"> (parter)</w:t>
      </w:r>
      <w:r w:rsidR="00974B3D" w:rsidRPr="00640C45">
        <w:rPr>
          <w:rFonts w:cstheme="minorHAnsi"/>
          <w:sz w:val="24"/>
          <w:szCs w:val="24"/>
        </w:rPr>
        <w:t>, tel. 94 3</w:t>
      </w:r>
      <w:r w:rsidR="002B5060" w:rsidRPr="00640C45">
        <w:rPr>
          <w:rFonts w:cstheme="minorHAnsi"/>
          <w:sz w:val="24"/>
          <w:szCs w:val="24"/>
        </w:rPr>
        <w:t>1 62 535</w:t>
      </w:r>
      <w:r w:rsidR="00154F17" w:rsidRPr="00640C45">
        <w:rPr>
          <w:rFonts w:cstheme="minorHAnsi"/>
          <w:sz w:val="24"/>
          <w:szCs w:val="24"/>
        </w:rPr>
        <w:t>.</w:t>
      </w:r>
    </w:p>
    <w:p w14:paraId="319E1D3D" w14:textId="0AC7E13B" w:rsidR="00974B3D" w:rsidRPr="00640C45" w:rsidRDefault="00CC3BAD" w:rsidP="00F9026E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40C45">
        <w:rPr>
          <w:rFonts w:cstheme="minorHAnsi"/>
          <w:sz w:val="24"/>
          <w:szCs w:val="24"/>
        </w:rPr>
        <w:t>W</w:t>
      </w:r>
      <w:r w:rsidR="00974B3D" w:rsidRPr="00640C45">
        <w:rPr>
          <w:rFonts w:cstheme="minorHAnsi"/>
          <w:sz w:val="24"/>
          <w:szCs w:val="24"/>
        </w:rPr>
        <w:t xml:space="preserve">ywieszono na tablicy ogłoszeń w Urzędzie </w:t>
      </w:r>
      <w:r w:rsidRPr="00640C45">
        <w:rPr>
          <w:rFonts w:cstheme="minorHAnsi"/>
          <w:sz w:val="24"/>
          <w:szCs w:val="24"/>
        </w:rPr>
        <w:t>Gminy Będzino</w:t>
      </w:r>
      <w:r w:rsidR="00974B3D" w:rsidRPr="00640C45">
        <w:rPr>
          <w:rFonts w:cstheme="minorHAnsi"/>
          <w:sz w:val="24"/>
          <w:szCs w:val="24"/>
        </w:rPr>
        <w:t xml:space="preserve"> oraz opublikowano na stronach internetowych</w:t>
      </w:r>
      <w:r w:rsidR="0062664C" w:rsidRPr="00640C45">
        <w:rPr>
          <w:rFonts w:cstheme="minorHAnsi"/>
          <w:sz w:val="24"/>
          <w:szCs w:val="24"/>
        </w:rPr>
        <w:t>.</w:t>
      </w:r>
    </w:p>
    <w:p w14:paraId="19D48BDF" w14:textId="0A9EBC6E" w:rsidR="00974B3D" w:rsidRPr="00640C45" w:rsidRDefault="00974B3D" w:rsidP="00F9026E">
      <w:pPr>
        <w:spacing w:after="0" w:line="360" w:lineRule="auto"/>
        <w:jc w:val="both"/>
        <w:rPr>
          <w:rFonts w:cstheme="minorHAnsi"/>
          <w:sz w:val="24"/>
          <w:szCs w:val="24"/>
        </w:rPr>
      </w:pPr>
      <w:bookmarkStart w:id="3" w:name="_Hlk172202705"/>
      <w:r w:rsidRPr="00640C45">
        <w:rPr>
          <w:rFonts w:cstheme="minorHAnsi"/>
          <w:sz w:val="24"/>
          <w:szCs w:val="24"/>
        </w:rPr>
        <w:t>http://bip.</w:t>
      </w:r>
      <w:r w:rsidR="00E07E1D" w:rsidRPr="00640C45">
        <w:rPr>
          <w:rFonts w:cstheme="minorHAnsi"/>
          <w:sz w:val="24"/>
          <w:szCs w:val="24"/>
        </w:rPr>
        <w:t>bedzino</w:t>
      </w:r>
      <w:r w:rsidRPr="00640C45">
        <w:rPr>
          <w:rFonts w:cstheme="minorHAnsi"/>
          <w:sz w:val="24"/>
          <w:szCs w:val="24"/>
        </w:rPr>
        <w:t xml:space="preserve">.pl – </w:t>
      </w:r>
      <w:r w:rsidR="007669F3" w:rsidRPr="00640C45">
        <w:rPr>
          <w:rFonts w:cstheme="minorHAnsi"/>
          <w:sz w:val="24"/>
          <w:szCs w:val="24"/>
        </w:rPr>
        <w:t xml:space="preserve">Wójt </w:t>
      </w:r>
      <w:r w:rsidRPr="00640C45">
        <w:rPr>
          <w:rFonts w:cstheme="minorHAnsi"/>
          <w:sz w:val="24"/>
          <w:szCs w:val="24"/>
        </w:rPr>
        <w:t>ogłoszenia</w:t>
      </w:r>
      <w:r w:rsidR="007669F3" w:rsidRPr="00640C45">
        <w:rPr>
          <w:rFonts w:cstheme="minorHAnsi"/>
          <w:sz w:val="24"/>
          <w:szCs w:val="24"/>
        </w:rPr>
        <w:t xml:space="preserve"> oraz na stronie</w:t>
      </w:r>
      <w:r w:rsidR="009B4E6A" w:rsidRPr="00640C45">
        <w:rPr>
          <w:rFonts w:cstheme="minorHAnsi"/>
          <w:sz w:val="24"/>
          <w:szCs w:val="24"/>
        </w:rPr>
        <w:t xml:space="preserve"> https://gmina.bedzino.pl/category/komunikaty/</w:t>
      </w:r>
    </w:p>
    <w:bookmarkEnd w:id="3"/>
    <w:p w14:paraId="0A06B445" w14:textId="77777777" w:rsidR="00974B3D" w:rsidRPr="00640C45" w:rsidRDefault="00974B3D" w:rsidP="00F9026E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40C45">
        <w:rPr>
          <w:rFonts w:cstheme="minorHAnsi"/>
          <w:sz w:val="24"/>
          <w:szCs w:val="24"/>
        </w:rPr>
        <w:t>Zastrzega się prawo odwołania przetargu w przypadku zaistnienia ważnych powodów.</w:t>
      </w:r>
    </w:p>
    <w:p w14:paraId="4FC0F008" w14:textId="22BAD229" w:rsidR="00974B3D" w:rsidRPr="00F9026E" w:rsidRDefault="00974B3D" w:rsidP="000639E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sectPr w:rsidR="00974B3D" w:rsidRPr="00F9026E" w:rsidSect="004806E3">
      <w:headerReference w:type="first" r:id="rId7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4EEEAB" w14:textId="77777777" w:rsidR="004806E3" w:rsidRDefault="004806E3" w:rsidP="004806E3">
      <w:pPr>
        <w:spacing w:after="0" w:line="240" w:lineRule="auto"/>
      </w:pPr>
      <w:r>
        <w:separator/>
      </w:r>
    </w:p>
  </w:endnote>
  <w:endnote w:type="continuationSeparator" w:id="0">
    <w:p w14:paraId="5861C9B1" w14:textId="77777777" w:rsidR="004806E3" w:rsidRDefault="004806E3" w:rsidP="00480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FA3539" w14:textId="77777777" w:rsidR="004806E3" w:rsidRDefault="004806E3" w:rsidP="004806E3">
      <w:pPr>
        <w:spacing w:after="0" w:line="240" w:lineRule="auto"/>
      </w:pPr>
      <w:r>
        <w:separator/>
      </w:r>
    </w:p>
  </w:footnote>
  <w:footnote w:type="continuationSeparator" w:id="0">
    <w:p w14:paraId="26873453" w14:textId="77777777" w:rsidR="004806E3" w:rsidRDefault="004806E3" w:rsidP="00480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64B103" w14:textId="680AB35E" w:rsidR="004806E3" w:rsidRDefault="009335A7">
    <w:pPr>
      <w:pStyle w:val="Nagwek"/>
    </w:pPr>
    <w:r>
      <w:t>RZG.6840.1.2023.AJ</w:t>
    </w:r>
  </w:p>
  <w:p w14:paraId="3D7D8DA5" w14:textId="346DCD9D" w:rsidR="004806E3" w:rsidRDefault="004806E3" w:rsidP="004806E3">
    <w:pPr>
      <w:pStyle w:val="Nagwek"/>
      <w:jc w:val="right"/>
    </w:pPr>
    <w:r>
      <w:t xml:space="preserve">Będzino, </w:t>
    </w:r>
    <w:r w:rsidR="00BE6ED1">
      <w:t>21.10</w:t>
    </w:r>
    <w:r>
      <w:t>.2024r.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E07640"/>
    <w:multiLevelType w:val="hybridMultilevel"/>
    <w:tmpl w:val="ACC6B870"/>
    <w:lvl w:ilvl="0" w:tplc="40F69C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6D667A"/>
    <w:multiLevelType w:val="hybridMultilevel"/>
    <w:tmpl w:val="49AA7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D83046"/>
    <w:multiLevelType w:val="hybridMultilevel"/>
    <w:tmpl w:val="465C87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C3D"/>
    <w:rsid w:val="00042490"/>
    <w:rsid w:val="000639ED"/>
    <w:rsid w:val="000A6EC4"/>
    <w:rsid w:val="000B15B2"/>
    <w:rsid w:val="00142CE0"/>
    <w:rsid w:val="00154F17"/>
    <w:rsid w:val="00171D7D"/>
    <w:rsid w:val="00200DDD"/>
    <w:rsid w:val="0025085C"/>
    <w:rsid w:val="00294D15"/>
    <w:rsid w:val="002B5060"/>
    <w:rsid w:val="002E1642"/>
    <w:rsid w:val="00344B2B"/>
    <w:rsid w:val="00357268"/>
    <w:rsid w:val="00386C3D"/>
    <w:rsid w:val="003B18FC"/>
    <w:rsid w:val="003E2921"/>
    <w:rsid w:val="004016A1"/>
    <w:rsid w:val="00444C86"/>
    <w:rsid w:val="004806E3"/>
    <w:rsid w:val="004B2F92"/>
    <w:rsid w:val="00507589"/>
    <w:rsid w:val="0062664C"/>
    <w:rsid w:val="00640C45"/>
    <w:rsid w:val="00674454"/>
    <w:rsid w:val="00712C6F"/>
    <w:rsid w:val="007669F3"/>
    <w:rsid w:val="00795815"/>
    <w:rsid w:val="007F1664"/>
    <w:rsid w:val="0083573E"/>
    <w:rsid w:val="00873C1C"/>
    <w:rsid w:val="008779DF"/>
    <w:rsid w:val="009335A7"/>
    <w:rsid w:val="00944295"/>
    <w:rsid w:val="00974B3D"/>
    <w:rsid w:val="009B4E6A"/>
    <w:rsid w:val="009F6D57"/>
    <w:rsid w:val="00A4734D"/>
    <w:rsid w:val="00A92377"/>
    <w:rsid w:val="00BA3A27"/>
    <w:rsid w:val="00BE6ED1"/>
    <w:rsid w:val="00C4769C"/>
    <w:rsid w:val="00C5089D"/>
    <w:rsid w:val="00CB26BB"/>
    <w:rsid w:val="00CC3BAD"/>
    <w:rsid w:val="00D05681"/>
    <w:rsid w:val="00D36878"/>
    <w:rsid w:val="00D514DB"/>
    <w:rsid w:val="00D65851"/>
    <w:rsid w:val="00E07E1D"/>
    <w:rsid w:val="00E522D4"/>
    <w:rsid w:val="00E76C11"/>
    <w:rsid w:val="00EE0C4F"/>
    <w:rsid w:val="00EE419E"/>
    <w:rsid w:val="00F9026E"/>
    <w:rsid w:val="00FA5CB4"/>
    <w:rsid w:val="00FF12C1"/>
    <w:rsid w:val="00FF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8F163"/>
  <w15:chartTrackingRefBased/>
  <w15:docId w15:val="{9CE75B49-7E13-4673-B465-FB0BF38C9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35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B2F9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12C6F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80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6E3"/>
  </w:style>
  <w:style w:type="paragraph" w:styleId="Stopka">
    <w:name w:val="footer"/>
    <w:basedOn w:val="Normalny"/>
    <w:link w:val="StopkaZnak"/>
    <w:uiPriority w:val="99"/>
    <w:unhideWhenUsed/>
    <w:rsid w:val="00480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1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748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Dudnik</dc:creator>
  <cp:keywords/>
  <dc:description/>
  <cp:lastModifiedBy>Agnieszka Kowalczyk-Jęcek</cp:lastModifiedBy>
  <cp:revision>8</cp:revision>
  <dcterms:created xsi:type="dcterms:W3CDTF">2024-07-26T07:40:00Z</dcterms:created>
  <dcterms:modified xsi:type="dcterms:W3CDTF">2024-10-21T07:00:00Z</dcterms:modified>
</cp:coreProperties>
</file>